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204AEA58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871EC">
        <w:rPr>
          <w:rFonts w:ascii="Times New Roman" w:hAnsi="Times New Roman" w:cs="Times New Roman"/>
          <w:b/>
          <w:sz w:val="24"/>
          <w:szCs w:val="24"/>
        </w:rPr>
        <w:t>9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7BFBA103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6871EC">
        <w:rPr>
          <w:rFonts w:ascii="Times New Roman" w:hAnsi="Times New Roman" w:cs="Times New Roman"/>
          <w:b/>
          <w:sz w:val="24"/>
          <w:szCs w:val="24"/>
        </w:rPr>
        <w:t>17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1EC">
        <w:rPr>
          <w:rFonts w:ascii="Times New Roman" w:hAnsi="Times New Roman" w:cs="Times New Roman"/>
          <w:b/>
          <w:sz w:val="24"/>
          <w:szCs w:val="24"/>
        </w:rPr>
        <w:t>prosince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4AF77865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1. Navržení zapisovatele a určení ověřovatelů zápisu.</w:t>
      </w:r>
    </w:p>
    <w:p w14:paraId="12D29C7A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2. Schválení navrženého programu jednání OZ.</w:t>
      </w:r>
    </w:p>
    <w:p w14:paraId="34C9A95F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3. Rozpočtové opatření č. 8/2021.</w:t>
      </w:r>
    </w:p>
    <w:p w14:paraId="37736C11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4. Projednání a schválení rozpočtu obce na rok 2022.</w:t>
      </w:r>
    </w:p>
    <w:p w14:paraId="620597BF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5. Projednání a schválení dodatku č. 1/2022 ke smlouvě o převodu odpadu do vlastnictví a o poskytnutí služeb oprávněné osoby v oblasti nakládání s odpady na území obce a místních částí</w:t>
      </w:r>
    </w:p>
    <w:p w14:paraId="0B9B76D9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6. Projednání a </w:t>
      </w:r>
      <w:proofErr w:type="gramStart"/>
      <w:r>
        <w:rPr>
          <w:b/>
        </w:rPr>
        <w:t>schválení ,,Návrhu</w:t>
      </w:r>
      <w:proofErr w:type="gramEnd"/>
      <w:r>
        <w:rPr>
          <w:b/>
        </w:rPr>
        <w:t xml:space="preserve"> ceny pro vodné na rok 2022“</w:t>
      </w:r>
    </w:p>
    <w:p w14:paraId="662B0AFE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7. Projednání Žádosti o finanční příspěvek na rok 2022 - Oblastní charita Strakonice.</w:t>
      </w:r>
    </w:p>
    <w:p w14:paraId="1C5199E7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8. Projednání nabídek k pronájmu (pachtu) pozemků v Katastru obce Koječín – 1120 – </w:t>
      </w:r>
      <w:proofErr w:type="gramStart"/>
      <w:r>
        <w:rPr>
          <w:b/>
        </w:rPr>
        <w:t>670m</w:t>
      </w:r>
      <w:r>
        <w:rPr>
          <w:b/>
          <w:vertAlign w:val="superscript"/>
        </w:rPr>
        <w:t>2</w:t>
      </w:r>
      <w:proofErr w:type="gramEnd"/>
      <w:r>
        <w:rPr>
          <w:b/>
        </w:rPr>
        <w:t>, 1009 – 566m</w:t>
      </w:r>
      <w:r>
        <w:rPr>
          <w:b/>
          <w:vertAlign w:val="superscript"/>
        </w:rPr>
        <w:t>2</w:t>
      </w:r>
      <w:r>
        <w:rPr>
          <w:b/>
        </w:rPr>
        <w:t>, 1044 – 870m</w:t>
      </w:r>
      <w:r>
        <w:rPr>
          <w:b/>
          <w:vertAlign w:val="superscript"/>
        </w:rPr>
        <w:t>2</w:t>
      </w:r>
      <w:r>
        <w:rPr>
          <w:b/>
        </w:rPr>
        <w:t>, 1057 – 220m</w:t>
      </w:r>
      <w:r>
        <w:rPr>
          <w:b/>
          <w:vertAlign w:val="superscript"/>
        </w:rPr>
        <w:t>2</w:t>
      </w:r>
      <w:r>
        <w:rPr>
          <w:b/>
        </w:rPr>
        <w:t>, 1097 – 1140m</w:t>
      </w:r>
      <w:r>
        <w:rPr>
          <w:b/>
          <w:vertAlign w:val="superscript"/>
        </w:rPr>
        <w:t>2</w:t>
      </w:r>
    </w:p>
    <w:p w14:paraId="0189EE6A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, 1126 – </w:t>
      </w:r>
      <w:proofErr w:type="gramStart"/>
      <w:r>
        <w:rPr>
          <w:b/>
        </w:rPr>
        <w:t>140m</w:t>
      </w:r>
      <w:r>
        <w:rPr>
          <w:b/>
          <w:vertAlign w:val="superscript"/>
        </w:rPr>
        <w:t>2</w:t>
      </w:r>
      <w:proofErr w:type="gramEnd"/>
      <w:r>
        <w:rPr>
          <w:b/>
        </w:rPr>
        <w:t>, 1149 – 380m</w:t>
      </w:r>
      <w:r>
        <w:rPr>
          <w:b/>
          <w:vertAlign w:val="superscript"/>
        </w:rPr>
        <w:t>2</w:t>
      </w:r>
      <w:r>
        <w:rPr>
          <w:b/>
        </w:rPr>
        <w:t>, 1007 – 252m</w:t>
      </w:r>
      <w:r>
        <w:rPr>
          <w:b/>
          <w:vertAlign w:val="superscript"/>
        </w:rPr>
        <w:t>2</w:t>
      </w:r>
      <w:r>
        <w:rPr>
          <w:b/>
        </w:rPr>
        <w:t>, 1151 – 330m</w:t>
      </w:r>
      <w:r>
        <w:rPr>
          <w:b/>
          <w:vertAlign w:val="superscript"/>
        </w:rPr>
        <w:t>2</w:t>
      </w:r>
      <w:r>
        <w:rPr>
          <w:b/>
        </w:rPr>
        <w:t>, 1022 – 175m</w:t>
      </w:r>
      <w:r>
        <w:rPr>
          <w:b/>
          <w:vertAlign w:val="superscript"/>
        </w:rPr>
        <w:t>2</w:t>
      </w:r>
      <w:r>
        <w:rPr>
          <w:b/>
        </w:rPr>
        <w:t>, 1068 – 220m</w:t>
      </w:r>
      <w:r>
        <w:rPr>
          <w:b/>
          <w:vertAlign w:val="superscript"/>
        </w:rPr>
        <w:t>2</w:t>
      </w:r>
      <w:r>
        <w:rPr>
          <w:b/>
        </w:rPr>
        <w:t>, 1137 – 30m</w:t>
      </w:r>
      <w:r>
        <w:rPr>
          <w:b/>
          <w:vertAlign w:val="superscript"/>
        </w:rPr>
        <w:t>2</w:t>
      </w:r>
      <w:r>
        <w:rPr>
          <w:b/>
        </w:rPr>
        <w:t>, 1031 – 1010m</w:t>
      </w:r>
      <w:r>
        <w:rPr>
          <w:b/>
          <w:vertAlign w:val="superscript"/>
        </w:rPr>
        <w:t>2</w:t>
      </w:r>
      <w:r>
        <w:rPr>
          <w:b/>
        </w:rPr>
        <w:t>, 1005 – 180m</w:t>
      </w:r>
      <w:r>
        <w:rPr>
          <w:b/>
          <w:vertAlign w:val="superscript"/>
        </w:rPr>
        <w:t>2</w:t>
      </w:r>
      <w:r>
        <w:rPr>
          <w:b/>
        </w:rPr>
        <w:t>, 1042 – 330m</w:t>
      </w:r>
      <w:r>
        <w:rPr>
          <w:b/>
          <w:vertAlign w:val="superscript"/>
        </w:rPr>
        <w:t>2</w:t>
      </w:r>
      <w:r>
        <w:rPr>
          <w:b/>
        </w:rPr>
        <w:t>, 1030 – 1950m</w:t>
      </w:r>
      <w:r>
        <w:rPr>
          <w:b/>
          <w:vertAlign w:val="superscript"/>
        </w:rPr>
        <w:t>2</w:t>
      </w:r>
      <w:r>
        <w:rPr>
          <w:b/>
        </w:rPr>
        <w:t>, 1010 – 3520m</w:t>
      </w:r>
      <w:r>
        <w:rPr>
          <w:b/>
          <w:vertAlign w:val="superscript"/>
        </w:rPr>
        <w:t>2</w:t>
      </w:r>
      <w:r>
        <w:rPr>
          <w:b/>
        </w:rPr>
        <w:t>,1133 – 60m</w:t>
      </w:r>
      <w:r>
        <w:rPr>
          <w:b/>
          <w:vertAlign w:val="superscript"/>
        </w:rPr>
        <w:t>2</w:t>
      </w:r>
      <w:r>
        <w:rPr>
          <w:b/>
        </w:rPr>
        <w:t xml:space="preserve"> – celkem 12043m</w:t>
      </w:r>
      <w:r>
        <w:rPr>
          <w:b/>
          <w:vertAlign w:val="superscript"/>
        </w:rPr>
        <w:t>2</w:t>
      </w:r>
      <w:r>
        <w:rPr>
          <w:b/>
        </w:rPr>
        <w:t>.</w:t>
      </w:r>
    </w:p>
    <w:p w14:paraId="238C1487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9. Projednání nabídek k pronájmu (pachtu) pozemků v katastru obce Čepřovice – 503 – 100m</w:t>
      </w:r>
      <w:r>
        <w:rPr>
          <w:b/>
          <w:vertAlign w:val="superscript"/>
        </w:rPr>
        <w:t>2</w:t>
      </w:r>
      <w:r>
        <w:rPr>
          <w:b/>
        </w:rPr>
        <w:t>, 306/9 – 99m</w:t>
      </w:r>
      <w:r>
        <w:rPr>
          <w:b/>
          <w:vertAlign w:val="superscript"/>
        </w:rPr>
        <w:t>2</w:t>
      </w:r>
      <w:r>
        <w:rPr>
          <w:b/>
        </w:rPr>
        <w:t>, 447 – 1579m</w:t>
      </w:r>
      <w:r>
        <w:rPr>
          <w:b/>
          <w:vertAlign w:val="superscript"/>
        </w:rPr>
        <w:t>2</w:t>
      </w:r>
      <w:r>
        <w:rPr>
          <w:b/>
        </w:rPr>
        <w:t>, 962/2 – 773m</w:t>
      </w:r>
      <w:r>
        <w:rPr>
          <w:b/>
          <w:vertAlign w:val="superscript"/>
        </w:rPr>
        <w:t>2</w:t>
      </w:r>
      <w:r>
        <w:rPr>
          <w:b/>
        </w:rPr>
        <w:t>, 965 – 1250m</w:t>
      </w:r>
      <w:r>
        <w:rPr>
          <w:b/>
          <w:vertAlign w:val="superscript"/>
        </w:rPr>
        <w:t>2</w:t>
      </w:r>
      <w:r>
        <w:rPr>
          <w:b/>
        </w:rPr>
        <w:t>, 716/8 – 345m</w:t>
      </w:r>
      <w:r>
        <w:rPr>
          <w:b/>
          <w:vertAlign w:val="superscript"/>
        </w:rPr>
        <w:t>2</w:t>
      </w:r>
      <w:r>
        <w:rPr>
          <w:b/>
        </w:rPr>
        <w:t>, 306/1 – 17000m</w:t>
      </w:r>
      <w:r>
        <w:rPr>
          <w:b/>
          <w:vertAlign w:val="superscript"/>
        </w:rPr>
        <w:t>2</w:t>
      </w:r>
      <w:r>
        <w:rPr>
          <w:b/>
        </w:rPr>
        <w:t>, 667 – 758m</w:t>
      </w:r>
      <w:r>
        <w:rPr>
          <w:b/>
          <w:vertAlign w:val="superscript"/>
        </w:rPr>
        <w:t>2</w:t>
      </w:r>
      <w:r>
        <w:rPr>
          <w:b/>
        </w:rPr>
        <w:t>, 842/2 – 3838m</w:t>
      </w:r>
      <w:r>
        <w:rPr>
          <w:b/>
          <w:vertAlign w:val="superscript"/>
        </w:rPr>
        <w:t>2</w:t>
      </w:r>
      <w:r>
        <w:rPr>
          <w:b/>
        </w:rPr>
        <w:t>, 716/6 – 10973m</w:t>
      </w:r>
      <w:r>
        <w:rPr>
          <w:b/>
          <w:vertAlign w:val="superscript"/>
        </w:rPr>
        <w:t>2</w:t>
      </w:r>
      <w:r>
        <w:rPr>
          <w:b/>
        </w:rPr>
        <w:t>, 735/34 – 687m</w:t>
      </w:r>
      <w:r>
        <w:rPr>
          <w:b/>
          <w:vertAlign w:val="superscript"/>
        </w:rPr>
        <w:t>2</w:t>
      </w:r>
      <w:r>
        <w:rPr>
          <w:b/>
        </w:rPr>
        <w:t>, 387/5 – 2967m</w:t>
      </w:r>
      <w:r>
        <w:rPr>
          <w:b/>
          <w:vertAlign w:val="superscript"/>
        </w:rPr>
        <w:t>2</w:t>
      </w:r>
      <w:r>
        <w:rPr>
          <w:b/>
        </w:rPr>
        <w:t>, 570/15 – 295m</w:t>
      </w:r>
      <w:r>
        <w:rPr>
          <w:b/>
          <w:vertAlign w:val="superscript"/>
        </w:rPr>
        <w:t>2</w:t>
      </w:r>
      <w:r>
        <w:rPr>
          <w:b/>
        </w:rPr>
        <w:t>, 966 – 370m</w:t>
      </w:r>
      <w:r>
        <w:rPr>
          <w:b/>
          <w:vertAlign w:val="superscript"/>
        </w:rPr>
        <w:t>2</w:t>
      </w:r>
      <w:r>
        <w:rPr>
          <w:b/>
        </w:rPr>
        <w:t>, 980 – 1760m</w:t>
      </w:r>
      <w:r>
        <w:rPr>
          <w:b/>
          <w:vertAlign w:val="superscript"/>
        </w:rPr>
        <w:t>2</w:t>
      </w:r>
      <w:r>
        <w:rPr>
          <w:b/>
        </w:rPr>
        <w:t>, 635 – 35m</w:t>
      </w:r>
      <w:r>
        <w:rPr>
          <w:b/>
          <w:vertAlign w:val="superscript"/>
        </w:rPr>
        <w:t>2</w:t>
      </w:r>
      <w:r>
        <w:rPr>
          <w:b/>
        </w:rPr>
        <w:t>, 960/1 – 250m</w:t>
      </w:r>
      <w:r>
        <w:rPr>
          <w:b/>
          <w:vertAlign w:val="superscript"/>
        </w:rPr>
        <w:t>2</w:t>
      </w:r>
      <w:r>
        <w:rPr>
          <w:b/>
        </w:rPr>
        <w:t>, 969/2 – 290m</w:t>
      </w:r>
      <w:r>
        <w:rPr>
          <w:b/>
          <w:vertAlign w:val="superscript"/>
        </w:rPr>
        <w:t>2</w:t>
      </w:r>
      <w:r>
        <w:rPr>
          <w:b/>
        </w:rPr>
        <w:t>, 979 – 175m</w:t>
      </w:r>
      <w:r>
        <w:rPr>
          <w:b/>
          <w:vertAlign w:val="superscript"/>
        </w:rPr>
        <w:t>2</w:t>
      </w:r>
      <w:r>
        <w:rPr>
          <w:b/>
        </w:rPr>
        <w:t>, 960/6 – 280m</w:t>
      </w:r>
      <w:r>
        <w:rPr>
          <w:b/>
          <w:vertAlign w:val="superscript"/>
        </w:rPr>
        <w:t>2</w:t>
      </w:r>
      <w:r>
        <w:rPr>
          <w:b/>
        </w:rPr>
        <w:t>, 961/1 – 400m</w:t>
      </w:r>
      <w:r>
        <w:rPr>
          <w:b/>
          <w:vertAlign w:val="superscript"/>
        </w:rPr>
        <w:t>2</w:t>
      </w:r>
      <w:r>
        <w:rPr>
          <w:b/>
        </w:rPr>
        <w:t>, 753/19 – 210m</w:t>
      </w:r>
      <w:r>
        <w:rPr>
          <w:b/>
          <w:vertAlign w:val="superscript"/>
        </w:rPr>
        <w:t>2</w:t>
      </w:r>
      <w:r>
        <w:rPr>
          <w:b/>
        </w:rPr>
        <w:t>, 962/1 – 1010m</w:t>
      </w:r>
      <w:r>
        <w:rPr>
          <w:b/>
          <w:vertAlign w:val="superscript"/>
        </w:rPr>
        <w:t>2</w:t>
      </w:r>
      <w:r>
        <w:rPr>
          <w:b/>
        </w:rPr>
        <w:t>, 968 – 780m</w:t>
      </w:r>
      <w:r>
        <w:rPr>
          <w:b/>
          <w:vertAlign w:val="superscript"/>
        </w:rPr>
        <w:t>2</w:t>
      </w:r>
      <w:r>
        <w:rPr>
          <w:b/>
        </w:rPr>
        <w:t>, 972/3 – 2290m</w:t>
      </w:r>
      <w:r>
        <w:rPr>
          <w:b/>
          <w:vertAlign w:val="superscript"/>
        </w:rPr>
        <w:t>2</w:t>
      </w:r>
      <w:r>
        <w:rPr>
          <w:b/>
        </w:rPr>
        <w:t>, 973 – 370m</w:t>
      </w:r>
      <w:r>
        <w:rPr>
          <w:b/>
          <w:vertAlign w:val="superscript"/>
        </w:rPr>
        <w:t>2</w:t>
      </w:r>
      <w:r>
        <w:rPr>
          <w:b/>
        </w:rPr>
        <w:t>, 976 – 425m</w:t>
      </w:r>
      <w:r>
        <w:rPr>
          <w:b/>
          <w:vertAlign w:val="superscript"/>
        </w:rPr>
        <w:t>2</w:t>
      </w:r>
      <w:r>
        <w:rPr>
          <w:b/>
        </w:rPr>
        <w:t>, 978 – 175m</w:t>
      </w:r>
      <w:r>
        <w:rPr>
          <w:b/>
          <w:vertAlign w:val="superscript"/>
        </w:rPr>
        <w:t>2</w:t>
      </w:r>
      <w:r>
        <w:rPr>
          <w:b/>
        </w:rPr>
        <w:t>, 734/6 – 400m</w:t>
      </w:r>
      <w:r>
        <w:rPr>
          <w:b/>
          <w:vertAlign w:val="superscript"/>
        </w:rPr>
        <w:t>2</w:t>
      </w:r>
      <w:r>
        <w:rPr>
          <w:b/>
        </w:rPr>
        <w:t>, 753/15 – 280m</w:t>
      </w:r>
      <w:r>
        <w:rPr>
          <w:b/>
          <w:vertAlign w:val="superscript"/>
        </w:rPr>
        <w:t>2</w:t>
      </w:r>
      <w:r>
        <w:rPr>
          <w:b/>
        </w:rPr>
        <w:t>, 300 – 260m</w:t>
      </w:r>
      <w:r>
        <w:rPr>
          <w:b/>
          <w:vertAlign w:val="superscript"/>
        </w:rPr>
        <w:t>2</w:t>
      </w:r>
      <w:r>
        <w:rPr>
          <w:b/>
        </w:rPr>
        <w:t>, 753/12 – 110m</w:t>
      </w:r>
      <w:r>
        <w:rPr>
          <w:b/>
          <w:vertAlign w:val="superscript"/>
        </w:rPr>
        <w:t>2</w:t>
      </w:r>
      <w:r>
        <w:rPr>
          <w:b/>
        </w:rPr>
        <w:t>, 941/2 – 100m</w:t>
      </w:r>
      <w:r>
        <w:rPr>
          <w:b/>
          <w:vertAlign w:val="superscript"/>
        </w:rPr>
        <w:t>2</w:t>
      </w:r>
      <w:r>
        <w:rPr>
          <w:b/>
        </w:rPr>
        <w:t>, 255/6 – 1870m</w:t>
      </w:r>
      <w:r>
        <w:rPr>
          <w:b/>
          <w:vertAlign w:val="superscript"/>
        </w:rPr>
        <w:t>2</w:t>
      </w:r>
      <w:r>
        <w:rPr>
          <w:b/>
        </w:rPr>
        <w:t>, 402/3 – 140m</w:t>
      </w:r>
      <w:r>
        <w:rPr>
          <w:b/>
          <w:vertAlign w:val="superscript"/>
        </w:rPr>
        <w:t>2</w:t>
      </w:r>
      <w:r>
        <w:rPr>
          <w:b/>
        </w:rPr>
        <w:t>, 977 – 550m</w:t>
      </w:r>
      <w:r>
        <w:rPr>
          <w:b/>
          <w:vertAlign w:val="superscript"/>
        </w:rPr>
        <w:t>2</w:t>
      </w:r>
      <w:r>
        <w:rPr>
          <w:b/>
        </w:rPr>
        <w:t>, 957 – 980m</w:t>
      </w:r>
      <w:r>
        <w:rPr>
          <w:b/>
          <w:vertAlign w:val="superscript"/>
        </w:rPr>
        <w:t>2</w:t>
      </w:r>
      <w:r>
        <w:rPr>
          <w:b/>
        </w:rPr>
        <w:t>, 201/2 – 310m</w:t>
      </w:r>
      <w:r>
        <w:rPr>
          <w:b/>
          <w:vertAlign w:val="superscript"/>
        </w:rPr>
        <w:t>2</w:t>
      </w:r>
      <w:r>
        <w:rPr>
          <w:b/>
        </w:rPr>
        <w:t>, 377 – 380m</w:t>
      </w:r>
      <w:r>
        <w:rPr>
          <w:b/>
          <w:vertAlign w:val="superscript"/>
        </w:rPr>
        <w:t>2</w:t>
      </w:r>
      <w:r>
        <w:rPr>
          <w:b/>
        </w:rPr>
        <w:t>, 967 – 90m</w:t>
      </w:r>
      <w:r>
        <w:rPr>
          <w:b/>
          <w:vertAlign w:val="superscript"/>
        </w:rPr>
        <w:t>2</w:t>
      </w:r>
      <w:r>
        <w:rPr>
          <w:b/>
        </w:rPr>
        <w:t>, 201/3 – 2530m</w:t>
      </w:r>
      <w:r>
        <w:rPr>
          <w:b/>
          <w:vertAlign w:val="superscript"/>
        </w:rPr>
        <w:t>2</w:t>
      </w:r>
      <w:r>
        <w:rPr>
          <w:b/>
        </w:rPr>
        <w:t>, 504/3 – 18968m</w:t>
      </w:r>
      <w:r>
        <w:rPr>
          <w:b/>
          <w:vertAlign w:val="superscript"/>
        </w:rPr>
        <w:t>2</w:t>
      </w:r>
      <w:r>
        <w:rPr>
          <w:b/>
        </w:rPr>
        <w:t>, 734/5 – 9000m</w:t>
      </w:r>
      <w:r>
        <w:rPr>
          <w:b/>
          <w:vertAlign w:val="superscript"/>
        </w:rPr>
        <w:t>2</w:t>
      </w:r>
      <w:r>
        <w:rPr>
          <w:b/>
        </w:rPr>
        <w:t>, 702 – 2700m</w:t>
      </w:r>
      <w:r>
        <w:rPr>
          <w:b/>
          <w:vertAlign w:val="superscript"/>
        </w:rPr>
        <w:t>2</w:t>
      </w:r>
      <w:r>
        <w:rPr>
          <w:b/>
        </w:rPr>
        <w:t>, 844/5 – 413m</w:t>
      </w:r>
      <w:r>
        <w:rPr>
          <w:b/>
          <w:vertAlign w:val="superscript"/>
        </w:rPr>
        <w:t>2</w:t>
      </w:r>
      <w:r>
        <w:rPr>
          <w:b/>
        </w:rPr>
        <w:t>, 834/21 – 3044m</w:t>
      </w:r>
      <w:r>
        <w:rPr>
          <w:b/>
          <w:vertAlign w:val="superscript"/>
        </w:rPr>
        <w:t>2</w:t>
      </w:r>
      <w:r>
        <w:rPr>
          <w:b/>
        </w:rPr>
        <w:t>, 149/17 – 7764m</w:t>
      </w:r>
      <w:r>
        <w:rPr>
          <w:b/>
          <w:vertAlign w:val="superscript"/>
        </w:rPr>
        <w:t>2</w:t>
      </w:r>
      <w:r>
        <w:rPr>
          <w:b/>
        </w:rPr>
        <w:t>, 223/14 – 4956m</w:t>
      </w:r>
      <w:r>
        <w:rPr>
          <w:b/>
          <w:vertAlign w:val="superscript"/>
        </w:rPr>
        <w:t>2</w:t>
      </w:r>
      <w:r>
        <w:rPr>
          <w:b/>
        </w:rPr>
        <w:t>, 734/1 – 13189m</w:t>
      </w:r>
      <w:r>
        <w:rPr>
          <w:b/>
          <w:vertAlign w:val="superscript"/>
        </w:rPr>
        <w:t>2</w:t>
      </w:r>
      <w:r>
        <w:rPr>
          <w:b/>
        </w:rPr>
        <w:t>, 834/9 – 511m</w:t>
      </w:r>
      <w:r>
        <w:rPr>
          <w:b/>
          <w:vertAlign w:val="superscript"/>
        </w:rPr>
        <w:t>2</w:t>
      </w:r>
      <w:r>
        <w:rPr>
          <w:b/>
        </w:rPr>
        <w:t>, 961/4 – 640m</w:t>
      </w:r>
      <w:r>
        <w:rPr>
          <w:b/>
          <w:vertAlign w:val="superscript"/>
        </w:rPr>
        <w:t>2</w:t>
      </w:r>
      <w:r>
        <w:rPr>
          <w:b/>
        </w:rPr>
        <w:t>, 864/1 – 115m</w:t>
      </w:r>
      <w:r>
        <w:rPr>
          <w:b/>
          <w:vertAlign w:val="superscript"/>
        </w:rPr>
        <w:t>2</w:t>
      </w:r>
      <w:r>
        <w:rPr>
          <w:b/>
        </w:rPr>
        <w:t>, 864/2 – 142m</w:t>
      </w:r>
      <w:r>
        <w:rPr>
          <w:b/>
          <w:vertAlign w:val="superscript"/>
        </w:rPr>
        <w:t>2</w:t>
      </w:r>
      <w:r>
        <w:rPr>
          <w:b/>
        </w:rPr>
        <w:t>, 961/5 – 32m</w:t>
      </w:r>
      <w:r>
        <w:rPr>
          <w:b/>
          <w:vertAlign w:val="superscript"/>
        </w:rPr>
        <w:t>2</w:t>
      </w:r>
      <w:r>
        <w:rPr>
          <w:b/>
        </w:rPr>
        <w:t>, 834/13 – 55m</w:t>
      </w:r>
      <w:r>
        <w:rPr>
          <w:b/>
          <w:vertAlign w:val="superscript"/>
        </w:rPr>
        <w:t>2</w:t>
      </w:r>
      <w:r>
        <w:rPr>
          <w:b/>
        </w:rPr>
        <w:t xml:space="preserve"> – celkem 119013m</w:t>
      </w:r>
      <w:r>
        <w:rPr>
          <w:b/>
          <w:vertAlign w:val="superscript"/>
        </w:rPr>
        <w:t>2</w:t>
      </w:r>
      <w:r>
        <w:rPr>
          <w:b/>
        </w:rPr>
        <w:t>.</w:t>
      </w:r>
    </w:p>
    <w:p w14:paraId="4FFC457A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10. Projednání nabídek o pronájmu (pachtu) pozemků v katastru obce Koječín – 1113 – </w:t>
      </w:r>
      <w:proofErr w:type="gramStart"/>
      <w:r>
        <w:rPr>
          <w:b/>
        </w:rPr>
        <w:t>690m</w:t>
      </w:r>
      <w:r>
        <w:rPr>
          <w:b/>
          <w:vertAlign w:val="superscript"/>
        </w:rPr>
        <w:t>2</w:t>
      </w:r>
      <w:proofErr w:type="gramEnd"/>
      <w:r>
        <w:rPr>
          <w:b/>
        </w:rPr>
        <w:t>, 1114 – 3335m</w:t>
      </w:r>
      <w:r>
        <w:rPr>
          <w:b/>
          <w:vertAlign w:val="superscript"/>
        </w:rPr>
        <w:t>2</w:t>
      </w:r>
      <w:r>
        <w:rPr>
          <w:b/>
        </w:rPr>
        <w:t>, 1116 – 2508m</w:t>
      </w:r>
      <w:r>
        <w:rPr>
          <w:b/>
          <w:vertAlign w:val="superscript"/>
        </w:rPr>
        <w:t>2</w:t>
      </w:r>
      <w:r>
        <w:rPr>
          <w:b/>
        </w:rPr>
        <w:t xml:space="preserve"> – celkem o výměře 6533m</w:t>
      </w:r>
      <w:r>
        <w:rPr>
          <w:b/>
          <w:vertAlign w:val="superscript"/>
        </w:rPr>
        <w:t>2</w:t>
      </w:r>
      <w:r>
        <w:rPr>
          <w:b/>
        </w:rPr>
        <w:t>.</w:t>
      </w:r>
    </w:p>
    <w:p w14:paraId="1C0234C6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11. Projednání nabídek o pronájmu (pachtu) pozemku v katastru obce Koječín – 1102 – </w:t>
      </w:r>
      <w:proofErr w:type="gramStart"/>
      <w:r>
        <w:rPr>
          <w:b/>
        </w:rPr>
        <w:t>21297m</w:t>
      </w:r>
      <w:r>
        <w:rPr>
          <w:b/>
          <w:vertAlign w:val="superscript"/>
        </w:rPr>
        <w:t>2</w:t>
      </w:r>
      <w:proofErr w:type="gramEnd"/>
      <w:r>
        <w:rPr>
          <w:b/>
        </w:rPr>
        <w:t>.</w:t>
      </w:r>
    </w:p>
    <w:p w14:paraId="1BAF4AD3" w14:textId="77777777" w:rsidR="00737FB8" w:rsidRDefault="00737FB8" w:rsidP="00737FB8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12. Projednání návrhů obce o prodeji pozemků v katastru obce Čepřovice – p.č. 946/13 – </w:t>
      </w:r>
      <w:proofErr w:type="gramStart"/>
      <w:r>
        <w:rPr>
          <w:b/>
        </w:rPr>
        <w:t>658m</w:t>
      </w:r>
      <w:r>
        <w:rPr>
          <w:b/>
          <w:vertAlign w:val="superscript"/>
        </w:rPr>
        <w:t>2</w:t>
      </w:r>
      <w:proofErr w:type="gramEnd"/>
      <w:r>
        <w:rPr>
          <w:b/>
        </w:rPr>
        <w:t>, p.č. 79/2 – 474m</w:t>
      </w:r>
      <w:r>
        <w:rPr>
          <w:b/>
          <w:vertAlign w:val="superscript"/>
        </w:rPr>
        <w:t>2</w:t>
      </w:r>
      <w:r>
        <w:rPr>
          <w:b/>
        </w:rPr>
        <w:t>, p.č 946/36 – 456m</w:t>
      </w:r>
      <w:r>
        <w:rPr>
          <w:b/>
          <w:vertAlign w:val="superscript"/>
        </w:rPr>
        <w:t>2</w:t>
      </w:r>
      <w:r>
        <w:rPr>
          <w:b/>
        </w:rPr>
        <w:t xml:space="preserve"> – celkem o výměře 1588m</w:t>
      </w:r>
      <w:r>
        <w:rPr>
          <w:b/>
          <w:vertAlign w:val="superscript"/>
        </w:rPr>
        <w:t>2</w:t>
      </w:r>
      <w:r>
        <w:rPr>
          <w:b/>
        </w:rPr>
        <w:t>.</w:t>
      </w:r>
    </w:p>
    <w:p w14:paraId="2ED651A7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13. Projednání střednědobého rozpočtového výhledu obce na rok 2022-2024.</w:t>
      </w:r>
    </w:p>
    <w:p w14:paraId="6F0734B4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>14. Projednání podání žádosti do POV na nákup komunálního traktůrku a jeho příslušenství.</w:t>
      </w:r>
    </w:p>
    <w:p w14:paraId="027DD0B6" w14:textId="77777777" w:rsidR="00737FB8" w:rsidRDefault="00737FB8" w:rsidP="00737FB8">
      <w:pPr>
        <w:pStyle w:val="Zkladntextodsazen"/>
        <w:ind w:firstLine="0"/>
        <w:rPr>
          <w:b/>
        </w:rPr>
      </w:pPr>
      <w:r>
        <w:rPr>
          <w:b/>
        </w:rPr>
        <w:t xml:space="preserve">15. Informace ke zrušení dotačního titulu z POV na úroky. </w:t>
      </w:r>
    </w:p>
    <w:p w14:paraId="6F293404" w14:textId="0612E82E" w:rsidR="000804D5" w:rsidRPr="002E1439" w:rsidRDefault="000804D5" w:rsidP="000804D5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Pr="002E1439">
        <w:rPr>
          <w:b/>
          <w:sz w:val="22"/>
          <w:szCs w:val="22"/>
        </w:rPr>
        <w:t>. Informace předsedy Finanční komise.</w:t>
      </w:r>
    </w:p>
    <w:p w14:paraId="1ABD6E39" w14:textId="55B9EE2E" w:rsidR="000804D5" w:rsidRDefault="000804D5" w:rsidP="000804D5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Pr="002E1439">
        <w:rPr>
          <w:b/>
          <w:sz w:val="22"/>
          <w:szCs w:val="22"/>
        </w:rPr>
        <w:t>. Informace předsedkyně Kontrolní komise.</w:t>
      </w:r>
    </w:p>
    <w:p w14:paraId="58F34DA6" w14:textId="3DDEE96B" w:rsidR="000804D5" w:rsidRPr="009150C5" w:rsidRDefault="000804D5" w:rsidP="000804D5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18. </w:t>
      </w:r>
      <w:r w:rsidR="009150C5">
        <w:rPr>
          <w:b/>
        </w:rPr>
        <w:t xml:space="preserve">Projednání Žádosti o finanční příspěvek ve výší 3000 Kč na rok 2022 - </w:t>
      </w:r>
      <w:r w:rsidR="009150C5" w:rsidRPr="009150C5">
        <w:rPr>
          <w:b/>
          <w:bCs/>
        </w:rPr>
        <w:t>NF Srdce pro Strakonice</w:t>
      </w:r>
      <w:r w:rsidR="009150C5">
        <w:rPr>
          <w:b/>
          <w:bCs/>
        </w:rPr>
        <w:t>.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1F71D7D9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5243E">
        <w:rPr>
          <w:b/>
          <w:i/>
        </w:rPr>
        <w:t>pan</w:t>
      </w:r>
      <w:r w:rsidR="00737FB8">
        <w:rPr>
          <w:b/>
          <w:i/>
        </w:rPr>
        <w:t xml:space="preserve">a Petra Pecha </w:t>
      </w:r>
      <w:r w:rsidRPr="002022CC">
        <w:rPr>
          <w:b/>
          <w:i/>
        </w:rPr>
        <w:t xml:space="preserve">a </w:t>
      </w:r>
      <w:r w:rsidR="00C72775">
        <w:rPr>
          <w:b/>
          <w:i/>
        </w:rPr>
        <w:t xml:space="preserve">pana </w:t>
      </w:r>
      <w:r w:rsidR="009E0D8D">
        <w:rPr>
          <w:b/>
          <w:i/>
        </w:rPr>
        <w:t>Václava Lafatu</w:t>
      </w:r>
      <w:r w:rsidRPr="002022CC">
        <w:rPr>
          <w:b/>
          <w:i/>
        </w:rPr>
        <w:t>.</w:t>
      </w:r>
    </w:p>
    <w:p w14:paraId="651C6719" w14:textId="0E2DD875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lastRenderedPageBreak/>
        <w:t>Zastupitelstvo obce Čepřovice schválilo navržený program jednání v plném znění, tak jak byl předložen.</w:t>
      </w:r>
      <w:bookmarkStart w:id="0" w:name="_Hlk64271187"/>
    </w:p>
    <w:p w14:paraId="1EAE54FA" w14:textId="573A80A0" w:rsidR="00661DCE" w:rsidRPr="009B261E" w:rsidRDefault="00661DCE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 xml:space="preserve">Předsedající seznámila zastupitele s rozpočtovým opatřením </w:t>
      </w:r>
      <w:r w:rsidR="00737FB8">
        <w:rPr>
          <w:b/>
          <w:i/>
          <w:iCs/>
        </w:rPr>
        <w:t>8</w:t>
      </w:r>
      <w:r>
        <w:rPr>
          <w:b/>
          <w:i/>
          <w:iCs/>
        </w:rPr>
        <w:t>/2021</w:t>
      </w:r>
      <w:r w:rsidR="009B261E">
        <w:rPr>
          <w:b/>
          <w:i/>
          <w:iCs/>
        </w:rPr>
        <w:t>.</w:t>
      </w:r>
    </w:p>
    <w:p w14:paraId="3703BE2C" w14:textId="5F4549F5" w:rsidR="002E1439" w:rsidRPr="00676A5B" w:rsidRDefault="002E1439" w:rsidP="002E143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676A5B">
        <w:rPr>
          <w:b/>
          <w:i/>
        </w:rPr>
        <w:t xml:space="preserve">Zastupitelstvo obce Čepřovice schvaluje </w:t>
      </w:r>
      <w:r w:rsidR="00405D46">
        <w:rPr>
          <w:b/>
          <w:i/>
        </w:rPr>
        <w:t>rozpočet</w:t>
      </w:r>
      <w:r w:rsidRPr="00676A5B">
        <w:rPr>
          <w:b/>
          <w:i/>
        </w:rPr>
        <w:t xml:space="preserve"> obce Čepřovice na rok 202</w:t>
      </w:r>
      <w:r w:rsidR="000D2098">
        <w:rPr>
          <w:b/>
          <w:i/>
        </w:rPr>
        <w:t>2</w:t>
      </w:r>
      <w:r w:rsidRPr="00676A5B">
        <w:rPr>
          <w:b/>
          <w:i/>
        </w:rPr>
        <w:t>, Příjmy obce na rok 202</w:t>
      </w:r>
      <w:r w:rsidR="000D2098">
        <w:rPr>
          <w:b/>
          <w:i/>
        </w:rPr>
        <w:t>2</w:t>
      </w:r>
      <w:r w:rsidRPr="00676A5B">
        <w:rPr>
          <w:b/>
          <w:i/>
        </w:rPr>
        <w:t xml:space="preserve"> jsou </w:t>
      </w:r>
      <w:r w:rsidR="000D2098">
        <w:rPr>
          <w:b/>
          <w:i/>
        </w:rPr>
        <w:t>4 099 612</w:t>
      </w:r>
      <w:r w:rsidRPr="00676A5B">
        <w:rPr>
          <w:b/>
          <w:i/>
        </w:rPr>
        <w:t xml:space="preserve"> Kč a výdaje obce na rok </w:t>
      </w:r>
      <w:proofErr w:type="gramStart"/>
      <w:r w:rsidRPr="00676A5B">
        <w:rPr>
          <w:b/>
          <w:i/>
        </w:rPr>
        <w:t>202</w:t>
      </w:r>
      <w:r w:rsidR="000D2098">
        <w:rPr>
          <w:b/>
          <w:i/>
        </w:rPr>
        <w:t xml:space="preserve">2 </w:t>
      </w:r>
      <w:r w:rsidRPr="00676A5B">
        <w:rPr>
          <w:b/>
          <w:i/>
        </w:rPr>
        <w:t xml:space="preserve"> jsou</w:t>
      </w:r>
      <w:proofErr w:type="gramEnd"/>
      <w:r w:rsidRPr="00676A5B">
        <w:rPr>
          <w:b/>
          <w:i/>
        </w:rPr>
        <w:t xml:space="preserve"> běžné výdaje </w:t>
      </w:r>
      <w:r w:rsidR="00EC4BC3">
        <w:rPr>
          <w:b/>
          <w:bCs/>
          <w:i/>
          <w:iCs/>
        </w:rPr>
        <w:t>2 626 320</w:t>
      </w:r>
      <w:r>
        <w:rPr>
          <w:b/>
          <w:bCs/>
          <w:i/>
          <w:iCs/>
        </w:rPr>
        <w:t xml:space="preserve"> Kč</w:t>
      </w:r>
      <w:r w:rsidR="00EC4BC3">
        <w:rPr>
          <w:b/>
          <w:i/>
        </w:rPr>
        <w:t xml:space="preserve"> a kapitálové výdaje 2 000 000 Kč celkem výdaje 4 626 320 Kč -</w:t>
      </w:r>
      <w:r w:rsidRPr="00676A5B">
        <w:rPr>
          <w:b/>
          <w:i/>
        </w:rPr>
        <w:t xml:space="preserve"> tak jak byl předložen, a to bez výhrad. </w:t>
      </w:r>
    </w:p>
    <w:p w14:paraId="62483C1A" w14:textId="4B0B37EB" w:rsidR="00737FB8" w:rsidRPr="00737FB8" w:rsidRDefault="00737FB8" w:rsidP="00737F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dodatek č. 1/202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ke smlouvě o převodu odpadu do vlastnictví a o poskytnutí služeb oprávněné osoby v oblasti s nakládáním s odpady na území obce a místních částí. Dodatek je ke smlouvě, kterou obec uzavřela dne 18. 5. 2015 se společností Rumpold 01- Vodňany s.r.o. Zastupitelstvo obce pověřuje starostku obce podpisem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tohoto dodatku. </w:t>
      </w:r>
    </w:p>
    <w:p w14:paraId="15462A6F" w14:textId="2EF34B79" w:rsidR="0004060A" w:rsidRPr="00880556" w:rsidRDefault="00880556" w:rsidP="008805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cenu vodného a stočného pro rok 2022, tak jak byla stanovena a navržena správcem vodovodu společností ČEVAK a to za 78,75, Kč/m</w:t>
      </w:r>
      <w:r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bez DPH. </w:t>
      </w:r>
    </w:p>
    <w:p w14:paraId="3EA91145" w14:textId="2E079EC7" w:rsidR="00631907" w:rsidRPr="009213CE" w:rsidRDefault="00631907" w:rsidP="00737F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</w:t>
      </w:r>
      <w:r w:rsidR="00405D4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neposkytnutí</w:t>
      </w:r>
      <w:r w:rsidR="008805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daru v celkové hodnotě 10 000 Kč – Oblastní charita Strakonice</w:t>
      </w:r>
      <w:r w:rsidR="00405D4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4870F8C4" w14:textId="6A003873" w:rsidR="00671797" w:rsidRPr="003409BE" w:rsidRDefault="00671797" w:rsidP="003409BE">
      <w:pPr>
        <w:pStyle w:val="Zkladntextodsazen"/>
        <w:numPr>
          <w:ilvl w:val="0"/>
          <w:numId w:val="1"/>
        </w:numPr>
        <w:rPr>
          <w:b/>
          <w:i/>
          <w:iCs/>
        </w:rPr>
      </w:pPr>
      <w:r w:rsidRPr="00671797">
        <w:rPr>
          <w:b/>
          <w:i/>
          <w:iCs/>
        </w:rPr>
        <w:t xml:space="preserve">Zastupitelstvo obce Čepřovice schvaluje </w:t>
      </w:r>
      <w:r w:rsidR="003409BE" w:rsidRPr="003409BE">
        <w:rPr>
          <w:b/>
          <w:i/>
          <w:iCs/>
        </w:rPr>
        <w:t>na základě zveřejněného záměru obce o pronájmu pozemku ze dne 5.11.2021</w:t>
      </w:r>
      <w:r w:rsidR="003409BE">
        <w:rPr>
          <w:b/>
          <w:i/>
          <w:iCs/>
        </w:rPr>
        <w:t xml:space="preserve"> - </w:t>
      </w:r>
      <w:r w:rsidR="003409BE" w:rsidRPr="003409BE">
        <w:rPr>
          <w:b/>
          <w:i/>
          <w:iCs/>
        </w:rPr>
        <w:t>pronájmu (pachtu) pozemků v Katastru obce Koječín – 1120 – 670m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1009 – 566m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1044 – 870m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1057 – 220m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1097 – 1140m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1126 – 140m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1149 – 380m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1007 – 252m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1151 – 330m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1022 – 175m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1068 – 220m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  1137 – 30m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1031 – 1010m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1005 – 180m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1042 – 330m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1030 – 1950m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 1010 – 3520m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>,1133 – 60m</w:t>
      </w:r>
      <w:r w:rsidR="003409BE" w:rsidRPr="003409BE">
        <w:rPr>
          <w:b/>
          <w:i/>
          <w:iCs/>
          <w:vertAlign w:val="superscript"/>
        </w:rPr>
        <w:t>2</w:t>
      </w:r>
      <w:r w:rsidR="003409BE" w:rsidRPr="003409BE">
        <w:rPr>
          <w:b/>
          <w:i/>
          <w:iCs/>
        </w:rPr>
        <w:t xml:space="preserve"> – celkem 12043m</w:t>
      </w:r>
      <w:r w:rsidR="003409BE" w:rsidRPr="003409BE">
        <w:rPr>
          <w:b/>
          <w:i/>
          <w:iCs/>
          <w:vertAlign w:val="superscript"/>
        </w:rPr>
        <w:t>2</w:t>
      </w:r>
      <w:r w:rsidR="003409BE">
        <w:rPr>
          <w:b/>
          <w:i/>
          <w:iCs/>
          <w:vertAlign w:val="superscript"/>
        </w:rPr>
        <w:t xml:space="preserve"> </w:t>
      </w:r>
      <w:r w:rsidR="003409BE">
        <w:rPr>
          <w:b/>
          <w:i/>
          <w:iCs/>
        </w:rPr>
        <w:t xml:space="preserve">a to ZOD Předslavice, Předslavice 2, 38701 Volyně, které v řádném termínu podalo nejvyšší cenovou nabídku a to 4100 Kč za/rok/ha zároveň se schvaluje Smlouva o pachtu a starostka obce se pověřuje jejím podpisem.  </w:t>
      </w:r>
    </w:p>
    <w:p w14:paraId="5F3BA99A" w14:textId="77777777" w:rsidR="00FD24DC" w:rsidRPr="002419C4" w:rsidRDefault="00FD24DC" w:rsidP="00FD24DC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 xml:space="preserve">Zastupitelstvo obce Čepřovice schvaluje na základě zveřejněného záměru obce o pronájmu pozemku ze dne 5.11.2021 – </w:t>
      </w:r>
      <w:r w:rsidRPr="002419C4">
        <w:rPr>
          <w:b/>
          <w:i/>
          <w:iCs/>
        </w:rPr>
        <w:t>pronáj</w:t>
      </w:r>
      <w:r>
        <w:rPr>
          <w:b/>
          <w:i/>
          <w:iCs/>
        </w:rPr>
        <w:t>em</w:t>
      </w:r>
      <w:r w:rsidRPr="002419C4">
        <w:rPr>
          <w:b/>
          <w:i/>
          <w:iCs/>
        </w:rPr>
        <w:t xml:space="preserve"> (pacht) pozemků v katastru obce Čepřovice – 503 – 100m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306/9 – 99m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447 – 1579m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962/2 – 773m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965 – 1250m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716/8 – 345m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306/1 – 17000m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667 – 758m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842/2 – 3838m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716/6 – 10973m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735/34 – 687m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387/5 – 2967m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570/15 – 295m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966 – 370m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980 – 1760m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635 – 35m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960/1 – 250m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969/2 – 290m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979 – 175m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960/6 – 280m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961/1 – 400m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753/19 – 210m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962/1 – 1010m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968 – 780m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972/3 – 2290m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973 – 370m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976 – 425m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978 – 175m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734/6 – 400m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753/15 – 280m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300 – 260m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753/12 – 110m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941/2 – 100m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255/6 – 1870m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402/3 – 140m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977 – 550m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957 – 980m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201/2 – 310m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377 – 380m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967 – 90m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201/3 – 2530m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504/3 – 18968m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734/5 – 9000m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702 – 2700m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844/5 – 413m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834/21 – 3044m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149/17 – 7764m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223/14 – 4956m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734/1 – 13189m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834/9 – 511m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961/4 – 640m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864/1 – 115m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864/2 – 142m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961/5 – 32m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>, 834/13 – 55m</w:t>
      </w:r>
      <w:r w:rsidRPr="002419C4">
        <w:rPr>
          <w:b/>
          <w:i/>
          <w:iCs/>
          <w:vertAlign w:val="superscript"/>
        </w:rPr>
        <w:t>2</w:t>
      </w:r>
      <w:r w:rsidRPr="002419C4">
        <w:rPr>
          <w:b/>
          <w:i/>
          <w:iCs/>
        </w:rPr>
        <w:t xml:space="preserve"> – celkem 119013m</w:t>
      </w:r>
      <w:r w:rsidRPr="002419C4"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a to ZOD Předslavice, Předslavice 2, 38701 Volyně, které v řádném termínu podalo nejvyšší cenovou nabídku a to 4100 Kč za/rok/ha zároveň se schvaluje Smlouva o pachtu a starostka obce se pověřuje jejím podpisem.  </w:t>
      </w:r>
    </w:p>
    <w:p w14:paraId="09A6CE0E" w14:textId="0F52A5CA" w:rsidR="00FD24DC" w:rsidRPr="002419C4" w:rsidRDefault="00FD24DC" w:rsidP="00FD24DC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 xml:space="preserve">Zastupitelstvo obce Čepřovice schvaluje na základě zveřejněného záměru obce o pronájmu pozemku ze dne 5.11.2021 </w:t>
      </w:r>
      <w:r w:rsidRPr="007A765E">
        <w:rPr>
          <w:b/>
        </w:rPr>
        <w:t>–</w:t>
      </w:r>
      <w:r w:rsidR="007A765E" w:rsidRPr="007A765E">
        <w:rPr>
          <w:b/>
        </w:rPr>
        <w:t xml:space="preserve"> </w:t>
      </w:r>
      <w:r w:rsidR="007A765E" w:rsidRPr="007A765E">
        <w:rPr>
          <w:b/>
          <w:i/>
          <w:iCs/>
        </w:rPr>
        <w:t>pronájem (pacht) pozemků v katastru</w:t>
      </w:r>
      <w:r w:rsidR="007A765E" w:rsidRPr="007A765E">
        <w:rPr>
          <w:b/>
        </w:rPr>
        <w:t xml:space="preserve"> </w:t>
      </w:r>
      <w:r w:rsidR="007A765E" w:rsidRPr="007A765E">
        <w:rPr>
          <w:b/>
          <w:i/>
          <w:iCs/>
        </w:rPr>
        <w:t xml:space="preserve">obce Koječín – 1113 – </w:t>
      </w:r>
      <w:proofErr w:type="gramStart"/>
      <w:r w:rsidR="007A765E" w:rsidRPr="007A765E">
        <w:rPr>
          <w:b/>
          <w:i/>
          <w:iCs/>
        </w:rPr>
        <w:t>690m</w:t>
      </w:r>
      <w:r w:rsidR="007A765E" w:rsidRPr="007A765E">
        <w:rPr>
          <w:b/>
          <w:i/>
          <w:iCs/>
          <w:vertAlign w:val="superscript"/>
        </w:rPr>
        <w:t>2</w:t>
      </w:r>
      <w:proofErr w:type="gramEnd"/>
      <w:r w:rsidR="007A765E" w:rsidRPr="007A765E">
        <w:rPr>
          <w:b/>
          <w:i/>
          <w:iCs/>
        </w:rPr>
        <w:t>, 1114 – 3335m</w:t>
      </w:r>
      <w:r w:rsidR="007A765E" w:rsidRPr="007A765E">
        <w:rPr>
          <w:b/>
          <w:i/>
          <w:iCs/>
          <w:vertAlign w:val="superscript"/>
        </w:rPr>
        <w:t>2</w:t>
      </w:r>
      <w:r w:rsidR="007A765E" w:rsidRPr="007A765E">
        <w:rPr>
          <w:b/>
          <w:i/>
          <w:iCs/>
        </w:rPr>
        <w:t>, 1116 – 2508m</w:t>
      </w:r>
      <w:r w:rsidR="007A765E" w:rsidRPr="007A765E">
        <w:rPr>
          <w:b/>
          <w:i/>
          <w:iCs/>
          <w:vertAlign w:val="superscript"/>
        </w:rPr>
        <w:t>2</w:t>
      </w:r>
      <w:r w:rsidR="007A765E" w:rsidRPr="007A765E">
        <w:rPr>
          <w:b/>
          <w:i/>
          <w:iCs/>
        </w:rPr>
        <w:t xml:space="preserve"> – celkem o výměře 6533m</w:t>
      </w:r>
      <w:r w:rsidR="007A765E" w:rsidRPr="007A765E">
        <w:rPr>
          <w:b/>
          <w:i/>
          <w:iCs/>
          <w:vertAlign w:val="superscript"/>
        </w:rPr>
        <w:t>2</w:t>
      </w:r>
      <w:r w:rsidR="007A765E">
        <w:rPr>
          <w:b/>
          <w:i/>
          <w:iCs/>
        </w:rPr>
        <w:t xml:space="preserve"> a to panu </w:t>
      </w:r>
      <w:r w:rsidR="007A765E" w:rsidRPr="0064213B">
        <w:rPr>
          <w:b/>
          <w:i/>
          <w:iCs/>
          <w:highlight w:val="black"/>
        </w:rPr>
        <w:t>Pavlu Čechovi, Jiřetice 1, Čepřovice, 38701 Volyně,</w:t>
      </w:r>
      <w:r w:rsidR="007A765E">
        <w:rPr>
          <w:b/>
          <w:i/>
          <w:iCs/>
        </w:rPr>
        <w:t xml:space="preserve"> který v řádném termínu podal nejvyšší cenovou nabídku a to 4010 Kč za/rok/ha zároveň se schvaluje Smlouva o pachtu a starostka obce se pověřuje jejím podpisem.  </w:t>
      </w:r>
      <w:r>
        <w:rPr>
          <w:b/>
          <w:i/>
          <w:iCs/>
        </w:rPr>
        <w:t xml:space="preserve"> </w:t>
      </w:r>
    </w:p>
    <w:p w14:paraId="5463F0F9" w14:textId="7177A970" w:rsidR="002419C4" w:rsidRPr="002419C4" w:rsidRDefault="002419C4" w:rsidP="00737FB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lastRenderedPageBreak/>
        <w:t xml:space="preserve">Zastupitelstvo obce Čepřovice schvaluje na základě zveřejněného záměru obce o pronájmu pozemku ze dne </w:t>
      </w:r>
      <w:r w:rsidRPr="00840A23">
        <w:rPr>
          <w:b/>
          <w:i/>
          <w:iCs/>
        </w:rPr>
        <w:t xml:space="preserve">5.11.2021 – </w:t>
      </w:r>
      <w:r w:rsidR="00840A23" w:rsidRPr="00840A23">
        <w:rPr>
          <w:b/>
          <w:i/>
          <w:iCs/>
        </w:rPr>
        <w:t>pronáj</w:t>
      </w:r>
      <w:r w:rsidR="0018309D">
        <w:rPr>
          <w:b/>
          <w:i/>
          <w:iCs/>
        </w:rPr>
        <w:t>em</w:t>
      </w:r>
      <w:r w:rsidR="00840A23" w:rsidRPr="00840A23">
        <w:rPr>
          <w:b/>
          <w:i/>
          <w:iCs/>
        </w:rPr>
        <w:t xml:space="preserve"> (pacht) pozemku v katastru obce Koječín – 1102 – </w:t>
      </w:r>
      <w:proofErr w:type="gramStart"/>
      <w:r w:rsidR="00840A23" w:rsidRPr="00840A23">
        <w:rPr>
          <w:b/>
          <w:i/>
          <w:iCs/>
        </w:rPr>
        <w:t>21297m</w:t>
      </w:r>
      <w:r w:rsidR="00840A23" w:rsidRPr="00840A23">
        <w:rPr>
          <w:b/>
          <w:i/>
          <w:iCs/>
          <w:vertAlign w:val="superscript"/>
        </w:rPr>
        <w:t>2</w:t>
      </w:r>
      <w:proofErr w:type="gramEnd"/>
      <w:r w:rsidR="0018309D">
        <w:rPr>
          <w:b/>
          <w:i/>
          <w:iCs/>
        </w:rPr>
        <w:t>, a to panu Pavlu Čechovi, Jiřetice 1, Čepřovice, 38701 Volyně, který v řádném termínu podal nejvyšší cenovou nabídku a to 4010 Kč za/rok/ha zároveň se schvaluje Smlouva o pachtu a starostka obce se pověřuje jejím podpisem.</w:t>
      </w:r>
    </w:p>
    <w:p w14:paraId="3E41404F" w14:textId="7847D5C2" w:rsidR="001A3978" w:rsidRDefault="001A3978" w:rsidP="00737FB8">
      <w:pPr>
        <w:pStyle w:val="Zkladntext2"/>
        <w:numPr>
          <w:ilvl w:val="0"/>
          <w:numId w:val="1"/>
        </w:numPr>
        <w:spacing w:after="0" w:line="240" w:lineRule="auto"/>
        <w:rPr>
          <w:b/>
          <w:i/>
          <w:szCs w:val="22"/>
        </w:rPr>
      </w:pPr>
      <w:r>
        <w:rPr>
          <w:b/>
          <w:i/>
          <w:iCs/>
        </w:rPr>
        <w:t xml:space="preserve">Zastupitelstvo obce Čepřovice schvaluje </w:t>
      </w:r>
      <w:r w:rsidR="007D07F6">
        <w:rPr>
          <w:b/>
          <w:i/>
          <w:iCs/>
        </w:rPr>
        <w:t xml:space="preserve">na základě zveřejněného záměru obce o prodeji </w:t>
      </w:r>
      <w:r w:rsidR="002419C4">
        <w:rPr>
          <w:b/>
          <w:i/>
          <w:iCs/>
        </w:rPr>
        <w:t xml:space="preserve">pozemku </w:t>
      </w:r>
      <w:r w:rsidR="007D07F6">
        <w:rPr>
          <w:b/>
          <w:i/>
          <w:iCs/>
        </w:rPr>
        <w:t xml:space="preserve">ze dne 5.11.2021 </w:t>
      </w:r>
      <w:r w:rsidR="002419C4">
        <w:rPr>
          <w:b/>
          <w:i/>
          <w:iCs/>
        </w:rPr>
        <w:t xml:space="preserve">- </w:t>
      </w:r>
      <w:r w:rsidR="007D07F6" w:rsidRPr="007D07F6">
        <w:rPr>
          <w:b/>
          <w:i/>
          <w:iCs/>
        </w:rPr>
        <w:t xml:space="preserve">prodej pozemků v katastru obce Čepřovice – p.č. 946/13 – </w:t>
      </w:r>
      <w:proofErr w:type="gramStart"/>
      <w:r w:rsidR="007D07F6" w:rsidRPr="007D07F6">
        <w:rPr>
          <w:b/>
          <w:i/>
          <w:iCs/>
        </w:rPr>
        <w:t>658m</w:t>
      </w:r>
      <w:r w:rsidR="007D07F6" w:rsidRPr="007D07F6">
        <w:rPr>
          <w:b/>
          <w:i/>
          <w:iCs/>
          <w:vertAlign w:val="superscript"/>
        </w:rPr>
        <w:t>2</w:t>
      </w:r>
      <w:proofErr w:type="gramEnd"/>
      <w:r w:rsidR="007D07F6" w:rsidRPr="007D07F6">
        <w:rPr>
          <w:b/>
          <w:i/>
          <w:iCs/>
        </w:rPr>
        <w:t>, p.č. 79/2 – 474m</w:t>
      </w:r>
      <w:r w:rsidR="007D07F6" w:rsidRPr="007D07F6">
        <w:rPr>
          <w:b/>
          <w:i/>
          <w:iCs/>
          <w:vertAlign w:val="superscript"/>
        </w:rPr>
        <w:t>2</w:t>
      </w:r>
      <w:r w:rsidR="007D07F6" w:rsidRPr="007D07F6">
        <w:rPr>
          <w:b/>
          <w:i/>
          <w:iCs/>
        </w:rPr>
        <w:t>, p.č 946/36 – 456m</w:t>
      </w:r>
      <w:r w:rsidR="007D07F6" w:rsidRPr="007D07F6">
        <w:rPr>
          <w:b/>
          <w:i/>
          <w:iCs/>
          <w:vertAlign w:val="superscript"/>
        </w:rPr>
        <w:t>2</w:t>
      </w:r>
      <w:r w:rsidR="007D07F6" w:rsidRPr="007D07F6">
        <w:rPr>
          <w:b/>
          <w:i/>
          <w:iCs/>
        </w:rPr>
        <w:t xml:space="preserve"> – celkem o výměře 1588m</w:t>
      </w:r>
      <w:r w:rsidR="007D07F6" w:rsidRPr="007D07F6">
        <w:rPr>
          <w:b/>
          <w:i/>
          <w:iCs/>
          <w:vertAlign w:val="superscript"/>
        </w:rPr>
        <w:t>2</w:t>
      </w:r>
      <w:r w:rsidR="007D07F6">
        <w:rPr>
          <w:b/>
          <w:i/>
          <w:iCs/>
        </w:rPr>
        <w:t xml:space="preserve"> a to panu </w:t>
      </w:r>
      <w:r w:rsidR="007D07F6" w:rsidRPr="0064213B">
        <w:rPr>
          <w:b/>
          <w:i/>
          <w:iCs/>
          <w:highlight w:val="black"/>
        </w:rPr>
        <w:t>Jakubu Jůzkovi,</w:t>
      </w:r>
      <w:r w:rsidR="000B3399" w:rsidRPr="0064213B">
        <w:rPr>
          <w:b/>
          <w:i/>
          <w:iCs/>
          <w:highlight w:val="black"/>
        </w:rPr>
        <w:t xml:space="preserve"> Střítež 34, Litochovice, 38701 Volyně,</w:t>
      </w:r>
      <w:r w:rsidR="007D07F6">
        <w:rPr>
          <w:b/>
          <w:i/>
          <w:iCs/>
        </w:rPr>
        <w:t xml:space="preserve"> který v řádném termínu podal nejvyšší cenovou nabídku a to 472 Kč za 1m</w:t>
      </w:r>
      <w:r w:rsidR="007D07F6">
        <w:rPr>
          <w:b/>
          <w:i/>
          <w:iCs/>
          <w:vertAlign w:val="superscript"/>
        </w:rPr>
        <w:t xml:space="preserve">2 </w:t>
      </w:r>
      <w:r w:rsidR="002419C4">
        <w:rPr>
          <w:b/>
          <w:i/>
          <w:iCs/>
        </w:rPr>
        <w:t xml:space="preserve">zároveň schvaluje předloženou smlouvu o koupi a pověřuje starostku obce jejím podpisem. </w:t>
      </w:r>
      <w:r w:rsidR="007D07F6">
        <w:rPr>
          <w:b/>
          <w:i/>
          <w:iCs/>
        </w:rPr>
        <w:t xml:space="preserve"> </w:t>
      </w:r>
    </w:p>
    <w:p w14:paraId="3A227A94" w14:textId="7B657E5F" w:rsidR="006871EC" w:rsidRPr="006871EC" w:rsidRDefault="006871EC" w:rsidP="006871EC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schvaluje střednědobý rozpočtový výhledu obce Čepřovice na rok 2022-2024 tak jak byl předložen a bez výhrad.</w:t>
      </w:r>
    </w:p>
    <w:p w14:paraId="51652FC2" w14:textId="75DDD779" w:rsidR="001A3978" w:rsidRDefault="001A3978" w:rsidP="00737F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</w:t>
      </w:r>
      <w:r w:rsidR="006871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podání žádosti do programu POV konkrétně na nákup komunálního traktůrku s příslušenstvím na údržbu veřejné zeleně – celková cena cca 370 000 Kč z toho dotace </w:t>
      </w:r>
      <w:r w:rsidR="006F18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222 000 Kč a vlastní spoluúčast 148 000 Kč a pověřuje starostku obce podáním žádosti. </w:t>
      </w:r>
    </w:p>
    <w:p w14:paraId="13A7D41E" w14:textId="2765BA72" w:rsidR="00397E28" w:rsidRPr="00C91913" w:rsidRDefault="00397E28" w:rsidP="00737F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91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</w:t>
      </w:r>
      <w:r w:rsidR="006F18AC">
        <w:rPr>
          <w:rFonts w:ascii="Times New Roman" w:hAnsi="Times New Roman" w:cs="Times New Roman"/>
          <w:b/>
          <w:i/>
          <w:iCs/>
          <w:sz w:val="24"/>
          <w:szCs w:val="24"/>
        </w:rPr>
        <w:t>bylo informováno ohledně toho, že pro rok 2022 byl Jihočeským krajem zrušena dotace z</w:t>
      </w:r>
      <w:r w:rsidR="006F18AC" w:rsidRPr="006F18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POV Jihočeského kraje </w:t>
      </w:r>
      <w:r w:rsidR="006F18AC">
        <w:rPr>
          <w:rFonts w:ascii="Times New Roman" w:hAnsi="Times New Roman" w:cs="Times New Roman"/>
          <w:b/>
          <w:i/>
          <w:iCs/>
          <w:sz w:val="24"/>
          <w:szCs w:val="24"/>
        </w:rPr>
        <w:t>na</w:t>
      </w:r>
      <w:r w:rsidR="006F18AC" w:rsidRPr="006F18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dotační opatření 2, dotačního titulu 8 Dotace z</w:t>
      </w:r>
      <w:r w:rsidR="006F18AC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6F18AC" w:rsidRPr="006F18AC">
        <w:rPr>
          <w:rFonts w:ascii="Times New Roman" w:hAnsi="Times New Roman" w:cs="Times New Roman"/>
          <w:b/>
          <w:i/>
          <w:iCs/>
          <w:sz w:val="24"/>
          <w:szCs w:val="24"/>
        </w:rPr>
        <w:t>úroků</w:t>
      </w:r>
      <w:r w:rsidR="006F18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nebudeme tedy žádat a tímto usnesením zároveň rušíme usnesení číslo </w:t>
      </w:r>
      <w:r w:rsidR="000804D5">
        <w:rPr>
          <w:rFonts w:ascii="Times New Roman" w:hAnsi="Times New Roman" w:cs="Times New Roman"/>
          <w:b/>
          <w:i/>
          <w:iCs/>
          <w:sz w:val="24"/>
          <w:szCs w:val="24"/>
        </w:rPr>
        <w:t>25 ze zasedání číslo 8/2021 ze dne 5. 11. 2021.</w:t>
      </w:r>
    </w:p>
    <w:p w14:paraId="08BF3F4C" w14:textId="04E1CB6E" w:rsidR="000804D5" w:rsidRDefault="000804D5" w:rsidP="000804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Předseda Finanční komise seznámil zastupitele obce s výsledkem finanční kontroly obce. Nebyly nalezeny neshody a porušení zákona.</w:t>
      </w:r>
    </w:p>
    <w:p w14:paraId="6545F88D" w14:textId="18686BFF" w:rsidR="00085136" w:rsidRPr="00085136" w:rsidRDefault="00085136" w:rsidP="00085136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>Předsedající seznámila zastupitele s rozpočtovým opatřením 9/2021.</w:t>
      </w:r>
    </w:p>
    <w:p w14:paraId="2C562212" w14:textId="387F10DC" w:rsidR="000804D5" w:rsidRDefault="000804D5" w:rsidP="000804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Předsedkyně Kontrolní komise seznámil zastupitele obce s výsledkem kontroly obce. Nebyly nalezeny neshody a porušení zákona.</w:t>
      </w:r>
      <w:r w:rsidR="00FC71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Na základě provedené kontroly, byl</w:t>
      </w:r>
      <w:r w:rsidR="00085136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="00FC71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provedeno odstranění chyb v zápisech, tak jak je předložila předsedkyně kontrolního výboru. Na elektronickou úřední desku bylo doplněno usnesení číslo 5, které sice zveřejněné je, ale bez přílohy usnesení. </w:t>
      </w:r>
      <w:r w:rsidR="000851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 doporučení předsedkyně kontrolního výboru se budou všechna usnesení zveřejňovat na ÚD po dobu 1 měsíce a na elektrické ÚD budou k dispozici celý rok. </w:t>
      </w:r>
    </w:p>
    <w:p w14:paraId="45F9DF44" w14:textId="08146C72" w:rsidR="000804D5" w:rsidRPr="00B03C1F" w:rsidRDefault="009150C5" w:rsidP="000804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50C5"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</w:t>
      </w:r>
      <w:r w:rsidR="00085136">
        <w:rPr>
          <w:rFonts w:ascii="Times New Roman" w:hAnsi="Times New Roman" w:cs="Times New Roman"/>
          <w:b/>
          <w:i/>
          <w:sz w:val="24"/>
          <w:szCs w:val="24"/>
        </w:rPr>
        <w:t xml:space="preserve"> neposkytnutí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příspěvek ve výši 3000 Kč nadaci Srdce pro Strakonice na jejich provozní náklady. </w:t>
      </w:r>
    </w:p>
    <w:p w14:paraId="1291093D" w14:textId="0787042E" w:rsidR="00B03C1F" w:rsidRPr="00B03C1F" w:rsidRDefault="00B03C1F" w:rsidP="00B03C1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podání žádosti do Krajského investičního fondu v roce 2022 a to ve výši 13 000 000 Kč. Pověřuje starostku obce zpracováním a podáním žádosti. V případě přidělení dotace pověřuje starostku obce podpisem smlouvy.</w:t>
      </w:r>
    </w:p>
    <w:p w14:paraId="02E8FAB5" w14:textId="16872593" w:rsidR="009150C5" w:rsidRPr="009150C5" w:rsidRDefault="009150C5" w:rsidP="000804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Různé.</w:t>
      </w:r>
    </w:p>
    <w:p w14:paraId="2EE1367F" w14:textId="77777777" w:rsidR="005437DF" w:rsidRDefault="005437DF" w:rsidP="005437DF">
      <w:pPr>
        <w:pStyle w:val="Zkladntext2"/>
        <w:spacing w:after="0" w:line="240" w:lineRule="auto"/>
        <w:ind w:left="1065"/>
        <w:rPr>
          <w:b/>
          <w:i/>
        </w:rPr>
      </w:pPr>
    </w:p>
    <w:p w14:paraId="3B8EFC2B" w14:textId="77777777" w:rsidR="00770B20" w:rsidRPr="007A1B92" w:rsidRDefault="00770B20" w:rsidP="007A1B92">
      <w:pPr>
        <w:pStyle w:val="Odstavecseseznamem"/>
        <w:spacing w:before="1"/>
        <w:ind w:left="1065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51D9400C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085136">
        <w:t>27</w:t>
      </w:r>
      <w:r w:rsidR="00682553">
        <w:t xml:space="preserve">. </w:t>
      </w:r>
      <w:r w:rsidR="003E7996">
        <w:t>1</w:t>
      </w:r>
      <w:r w:rsidR="00085136">
        <w:t>2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lastRenderedPageBreak/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6A723354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085136">
        <w:t>27</w:t>
      </w:r>
      <w:r w:rsidR="003E7996">
        <w:t>. 1</w:t>
      </w:r>
      <w:r w:rsidR="00085136">
        <w:t>2</w:t>
      </w:r>
      <w:r w:rsidR="003E7996">
        <w:t>. 2021</w:t>
      </w:r>
    </w:p>
    <w:p w14:paraId="1DFF5B2E" w14:textId="7A6C8D89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</w:t>
      </w:r>
      <w:proofErr w:type="gramStart"/>
      <w:r w:rsidR="00417022">
        <w:t>dne:</w:t>
      </w:r>
      <w:r w:rsidR="00387D69">
        <w:t>.</w:t>
      </w:r>
      <w:proofErr w:type="gramEnd"/>
      <w:r w:rsidR="00387D69">
        <w:t xml:space="preserve"> </w:t>
      </w:r>
      <w:r w:rsidR="00C41DCD">
        <w:t>27</w:t>
      </w:r>
      <w:r w:rsidR="003E7996">
        <w:t>. 1</w:t>
      </w:r>
      <w:r w:rsidR="00C41DCD">
        <w:t>2</w:t>
      </w:r>
      <w:r w:rsidR="003E7996">
        <w:t>. 2021</w:t>
      </w:r>
    </w:p>
    <w:p w14:paraId="6859C30F" w14:textId="17D57D2A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C41DCD">
        <w:t>27</w:t>
      </w:r>
      <w:r w:rsidR="003E7996">
        <w:t>. 1. 202</w:t>
      </w:r>
      <w:r w:rsidR="00C41DCD">
        <w:t>2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552438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9138036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319">
    <w:abstractNumId w:val="6"/>
  </w:num>
  <w:num w:numId="3" w16cid:durableId="659771242">
    <w:abstractNumId w:val="17"/>
  </w:num>
  <w:num w:numId="4" w16cid:durableId="944536114">
    <w:abstractNumId w:val="14"/>
  </w:num>
  <w:num w:numId="5" w16cid:durableId="287932199">
    <w:abstractNumId w:val="11"/>
  </w:num>
  <w:num w:numId="6" w16cid:durableId="1178813591">
    <w:abstractNumId w:val="1"/>
  </w:num>
  <w:num w:numId="7" w16cid:durableId="547452731">
    <w:abstractNumId w:val="13"/>
  </w:num>
  <w:num w:numId="8" w16cid:durableId="1335646765">
    <w:abstractNumId w:val="15"/>
  </w:num>
  <w:num w:numId="9" w16cid:durableId="2066641842">
    <w:abstractNumId w:val="3"/>
  </w:num>
  <w:num w:numId="10" w16cid:durableId="395586620">
    <w:abstractNumId w:val="8"/>
  </w:num>
  <w:num w:numId="11" w16cid:durableId="146674815">
    <w:abstractNumId w:val="2"/>
  </w:num>
  <w:num w:numId="12" w16cid:durableId="1442917443">
    <w:abstractNumId w:val="10"/>
  </w:num>
  <w:num w:numId="13" w16cid:durableId="1619678649">
    <w:abstractNumId w:val="18"/>
  </w:num>
  <w:num w:numId="14" w16cid:durableId="440606920">
    <w:abstractNumId w:val="12"/>
  </w:num>
  <w:num w:numId="15" w16cid:durableId="1913932798">
    <w:abstractNumId w:val="16"/>
  </w:num>
  <w:num w:numId="16" w16cid:durableId="1167548991">
    <w:abstractNumId w:val="9"/>
  </w:num>
  <w:num w:numId="17" w16cid:durableId="2013795038">
    <w:abstractNumId w:val="0"/>
  </w:num>
  <w:num w:numId="18" w16cid:durableId="1233543763">
    <w:abstractNumId w:val="4"/>
  </w:num>
  <w:num w:numId="19" w16cid:durableId="62975010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299163">
    <w:abstractNumId w:val="7"/>
  </w:num>
  <w:num w:numId="21" w16cid:durableId="288052804">
    <w:abstractNumId w:val="5"/>
  </w:num>
  <w:num w:numId="22" w16cid:durableId="187488528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4060A"/>
    <w:rsid w:val="00066840"/>
    <w:rsid w:val="00067A51"/>
    <w:rsid w:val="00071CB1"/>
    <w:rsid w:val="000804D5"/>
    <w:rsid w:val="00085136"/>
    <w:rsid w:val="00086B77"/>
    <w:rsid w:val="00090106"/>
    <w:rsid w:val="00092AB3"/>
    <w:rsid w:val="000A64D3"/>
    <w:rsid w:val="000A6CCE"/>
    <w:rsid w:val="000B3399"/>
    <w:rsid w:val="000D2098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309D"/>
    <w:rsid w:val="00184A7C"/>
    <w:rsid w:val="0018710A"/>
    <w:rsid w:val="001873D5"/>
    <w:rsid w:val="00195754"/>
    <w:rsid w:val="001A0D31"/>
    <w:rsid w:val="001A1E2A"/>
    <w:rsid w:val="001A3302"/>
    <w:rsid w:val="001A3978"/>
    <w:rsid w:val="001C37CE"/>
    <w:rsid w:val="001D4B89"/>
    <w:rsid w:val="001E3E1A"/>
    <w:rsid w:val="001E702A"/>
    <w:rsid w:val="0020219A"/>
    <w:rsid w:val="002022CC"/>
    <w:rsid w:val="00225245"/>
    <w:rsid w:val="00233DB4"/>
    <w:rsid w:val="00236127"/>
    <w:rsid w:val="00236CC7"/>
    <w:rsid w:val="002419C4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2E1439"/>
    <w:rsid w:val="003036DB"/>
    <w:rsid w:val="00312237"/>
    <w:rsid w:val="00321DD7"/>
    <w:rsid w:val="003409BE"/>
    <w:rsid w:val="00361217"/>
    <w:rsid w:val="0036682D"/>
    <w:rsid w:val="00387D69"/>
    <w:rsid w:val="00395985"/>
    <w:rsid w:val="00397E28"/>
    <w:rsid w:val="003B1759"/>
    <w:rsid w:val="003C0B51"/>
    <w:rsid w:val="003D562D"/>
    <w:rsid w:val="003E0371"/>
    <w:rsid w:val="003E1DEE"/>
    <w:rsid w:val="003E2705"/>
    <w:rsid w:val="003E6CD0"/>
    <w:rsid w:val="003E7996"/>
    <w:rsid w:val="003F39B2"/>
    <w:rsid w:val="00405D46"/>
    <w:rsid w:val="00411EDD"/>
    <w:rsid w:val="00417022"/>
    <w:rsid w:val="004237C9"/>
    <w:rsid w:val="00424E4A"/>
    <w:rsid w:val="00427B22"/>
    <w:rsid w:val="00445118"/>
    <w:rsid w:val="00450327"/>
    <w:rsid w:val="00463361"/>
    <w:rsid w:val="004747D5"/>
    <w:rsid w:val="004853B0"/>
    <w:rsid w:val="004A1A85"/>
    <w:rsid w:val="004B2A67"/>
    <w:rsid w:val="004D03FC"/>
    <w:rsid w:val="004D3953"/>
    <w:rsid w:val="004D5BC7"/>
    <w:rsid w:val="004E19A4"/>
    <w:rsid w:val="0051417D"/>
    <w:rsid w:val="0052053B"/>
    <w:rsid w:val="00521B40"/>
    <w:rsid w:val="005334F0"/>
    <w:rsid w:val="005437DF"/>
    <w:rsid w:val="00547598"/>
    <w:rsid w:val="00547DD8"/>
    <w:rsid w:val="005709D2"/>
    <w:rsid w:val="00570DB8"/>
    <w:rsid w:val="00573808"/>
    <w:rsid w:val="0058694D"/>
    <w:rsid w:val="00586FFC"/>
    <w:rsid w:val="0059026E"/>
    <w:rsid w:val="00597BF0"/>
    <w:rsid w:val="005A226D"/>
    <w:rsid w:val="005A2A08"/>
    <w:rsid w:val="005B71FA"/>
    <w:rsid w:val="005C2612"/>
    <w:rsid w:val="005E4189"/>
    <w:rsid w:val="005E54DF"/>
    <w:rsid w:val="006015A0"/>
    <w:rsid w:val="00603A1C"/>
    <w:rsid w:val="00606875"/>
    <w:rsid w:val="00606E6A"/>
    <w:rsid w:val="00622E9F"/>
    <w:rsid w:val="006268DB"/>
    <w:rsid w:val="00631907"/>
    <w:rsid w:val="0064213B"/>
    <w:rsid w:val="00651D1C"/>
    <w:rsid w:val="00657148"/>
    <w:rsid w:val="00661DCE"/>
    <w:rsid w:val="006657A0"/>
    <w:rsid w:val="00671797"/>
    <w:rsid w:val="00673809"/>
    <w:rsid w:val="00682553"/>
    <w:rsid w:val="006871EC"/>
    <w:rsid w:val="0069052E"/>
    <w:rsid w:val="00694AD3"/>
    <w:rsid w:val="00695CE6"/>
    <w:rsid w:val="006A1DB5"/>
    <w:rsid w:val="006C0B61"/>
    <w:rsid w:val="006C18D6"/>
    <w:rsid w:val="006C1AEF"/>
    <w:rsid w:val="006E58D7"/>
    <w:rsid w:val="006F18AC"/>
    <w:rsid w:val="006F44EF"/>
    <w:rsid w:val="0070218C"/>
    <w:rsid w:val="00705079"/>
    <w:rsid w:val="00707CCD"/>
    <w:rsid w:val="007150B9"/>
    <w:rsid w:val="007205BF"/>
    <w:rsid w:val="0072689E"/>
    <w:rsid w:val="007334B3"/>
    <w:rsid w:val="00735821"/>
    <w:rsid w:val="00737FB8"/>
    <w:rsid w:val="00740B3F"/>
    <w:rsid w:val="00755351"/>
    <w:rsid w:val="00755F9D"/>
    <w:rsid w:val="00761D28"/>
    <w:rsid w:val="00770B20"/>
    <w:rsid w:val="00772164"/>
    <w:rsid w:val="00775768"/>
    <w:rsid w:val="00781F35"/>
    <w:rsid w:val="00786CFF"/>
    <w:rsid w:val="0079418C"/>
    <w:rsid w:val="007A08B4"/>
    <w:rsid w:val="007A1B92"/>
    <w:rsid w:val="007A1D76"/>
    <w:rsid w:val="007A765E"/>
    <w:rsid w:val="007A7FC7"/>
    <w:rsid w:val="007B053E"/>
    <w:rsid w:val="007B1741"/>
    <w:rsid w:val="007D07F6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40A23"/>
    <w:rsid w:val="00851721"/>
    <w:rsid w:val="0086482C"/>
    <w:rsid w:val="00872632"/>
    <w:rsid w:val="00874779"/>
    <w:rsid w:val="008778BF"/>
    <w:rsid w:val="00880556"/>
    <w:rsid w:val="008845BB"/>
    <w:rsid w:val="00893CC3"/>
    <w:rsid w:val="008B2EB1"/>
    <w:rsid w:val="008C0C32"/>
    <w:rsid w:val="008C5A9D"/>
    <w:rsid w:val="008D2574"/>
    <w:rsid w:val="008E5230"/>
    <w:rsid w:val="008F6FAD"/>
    <w:rsid w:val="0090765E"/>
    <w:rsid w:val="009150C5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261E"/>
    <w:rsid w:val="009B30CA"/>
    <w:rsid w:val="009C63B4"/>
    <w:rsid w:val="009E0D8D"/>
    <w:rsid w:val="009F03A3"/>
    <w:rsid w:val="009F5072"/>
    <w:rsid w:val="00A05BA0"/>
    <w:rsid w:val="00A12DA9"/>
    <w:rsid w:val="00A22421"/>
    <w:rsid w:val="00A2288B"/>
    <w:rsid w:val="00A31B1D"/>
    <w:rsid w:val="00A3221C"/>
    <w:rsid w:val="00A33A08"/>
    <w:rsid w:val="00A4568C"/>
    <w:rsid w:val="00A62B9B"/>
    <w:rsid w:val="00A63110"/>
    <w:rsid w:val="00A74EEF"/>
    <w:rsid w:val="00A85785"/>
    <w:rsid w:val="00A94505"/>
    <w:rsid w:val="00AA4AE2"/>
    <w:rsid w:val="00AA7082"/>
    <w:rsid w:val="00AB3664"/>
    <w:rsid w:val="00AB4702"/>
    <w:rsid w:val="00AB520E"/>
    <w:rsid w:val="00AD536C"/>
    <w:rsid w:val="00AE3248"/>
    <w:rsid w:val="00AE7741"/>
    <w:rsid w:val="00AF3939"/>
    <w:rsid w:val="00B03C1F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BF6254"/>
    <w:rsid w:val="00C25751"/>
    <w:rsid w:val="00C31B9D"/>
    <w:rsid w:val="00C41DCD"/>
    <w:rsid w:val="00C648C5"/>
    <w:rsid w:val="00C72775"/>
    <w:rsid w:val="00C90A86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6"/>
    <w:rsid w:val="00D7281D"/>
    <w:rsid w:val="00D73692"/>
    <w:rsid w:val="00D87CEF"/>
    <w:rsid w:val="00D9488E"/>
    <w:rsid w:val="00D94CDE"/>
    <w:rsid w:val="00D97200"/>
    <w:rsid w:val="00DC5298"/>
    <w:rsid w:val="00DC5DC0"/>
    <w:rsid w:val="00DC60AD"/>
    <w:rsid w:val="00DC6B23"/>
    <w:rsid w:val="00DE7185"/>
    <w:rsid w:val="00DF189A"/>
    <w:rsid w:val="00DF2694"/>
    <w:rsid w:val="00E01052"/>
    <w:rsid w:val="00E06909"/>
    <w:rsid w:val="00E07C1E"/>
    <w:rsid w:val="00E11DE3"/>
    <w:rsid w:val="00E13DC1"/>
    <w:rsid w:val="00E3540F"/>
    <w:rsid w:val="00E75B15"/>
    <w:rsid w:val="00E8735A"/>
    <w:rsid w:val="00E93346"/>
    <w:rsid w:val="00E94822"/>
    <w:rsid w:val="00EB7B7B"/>
    <w:rsid w:val="00EC3444"/>
    <w:rsid w:val="00EC4BC3"/>
    <w:rsid w:val="00ED5396"/>
    <w:rsid w:val="00EF38C7"/>
    <w:rsid w:val="00EF45FA"/>
    <w:rsid w:val="00F16563"/>
    <w:rsid w:val="00F24FF1"/>
    <w:rsid w:val="00F26897"/>
    <w:rsid w:val="00F30248"/>
    <w:rsid w:val="00F35133"/>
    <w:rsid w:val="00F41CA6"/>
    <w:rsid w:val="00F45C17"/>
    <w:rsid w:val="00F51980"/>
    <w:rsid w:val="00F51989"/>
    <w:rsid w:val="00F5243E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B618E"/>
    <w:rsid w:val="00FC711F"/>
    <w:rsid w:val="00FD24DC"/>
    <w:rsid w:val="00FD3E2D"/>
    <w:rsid w:val="00FF268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D7281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2021-11-08T08:22:00Z</cp:lastPrinted>
  <dcterms:created xsi:type="dcterms:W3CDTF">2021-12-27T19:42:00Z</dcterms:created>
  <dcterms:modified xsi:type="dcterms:W3CDTF">2022-04-12T11:20:00Z</dcterms:modified>
</cp:coreProperties>
</file>